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GmbH</w:t>
      </w:r>
      <w:r w:rsidR="004E51B9" w:rsidRPr="00CD1907">
        <w:rPr>
          <w:rFonts w:cs="Arial"/>
          <w:b/>
          <w:sz w:val="14"/>
        </w:rPr>
        <w:t xml:space="preserve">  </w:t>
      </w:r>
      <w:r w:rsidR="004E51B9" w:rsidRPr="00CD1907">
        <w:rPr>
          <w:rFonts w:cs="Arial"/>
          <w:sz w:val="14"/>
        </w:rPr>
        <w:t xml:space="preserve">|  Ölgrabenstr. 14  |  71292 </w:t>
      </w:r>
      <w:proofErr w:type="spellStart"/>
      <w:r w:rsidR="004E51B9" w:rsidRPr="00CD1907">
        <w:rPr>
          <w:rFonts w:cs="Arial"/>
          <w:sz w:val="14"/>
        </w:rPr>
        <w:t>Friolzheim</w:t>
      </w:r>
      <w:proofErr w:type="spellEnd"/>
    </w:p>
    <w:p w:rsidR="00CD6F34" w:rsidRDefault="00CD6F34" w:rsidP="00C83A3E"/>
    <w:p w:rsidR="00A06C05" w:rsidRDefault="00A06C05" w:rsidP="00C83A3E"/>
    <w:p w:rsidR="002960EB" w:rsidRPr="0055422D" w:rsidRDefault="002960EB" w:rsidP="002960EB">
      <w:pPr>
        <w:spacing w:before="60"/>
        <w:rPr>
          <w:rFonts w:cs="Arial"/>
          <w:b/>
        </w:rPr>
      </w:pPr>
      <w:r w:rsidRPr="0055422D">
        <w:rPr>
          <w:rFonts w:cs="Arial"/>
          <w:b/>
        </w:rPr>
        <w:t>PRESSEMITTEILUNG</w:t>
      </w:r>
    </w:p>
    <w:p w:rsidR="002960EB" w:rsidRPr="0055422D" w:rsidRDefault="002960EB" w:rsidP="002960EB"/>
    <w:p w:rsidR="002960EB" w:rsidRPr="0055422D" w:rsidRDefault="002960EB" w:rsidP="002960EB">
      <w:r w:rsidRPr="0055422D">
        <w:t xml:space="preserve">25. Oktober 2018 </w:t>
      </w:r>
    </w:p>
    <w:p w:rsidR="002960EB" w:rsidRPr="0055422D" w:rsidRDefault="002960EB" w:rsidP="002960EB"/>
    <w:p w:rsidR="00A06C05" w:rsidRPr="0055422D" w:rsidRDefault="00A06C05" w:rsidP="002960EB"/>
    <w:p w:rsidR="002960EB" w:rsidRPr="0055422D" w:rsidRDefault="002960EB" w:rsidP="002960EB">
      <w:pPr>
        <w:rPr>
          <w:b/>
        </w:rPr>
      </w:pPr>
      <w:r w:rsidRPr="0055422D">
        <w:rPr>
          <w:b/>
        </w:rPr>
        <w:t xml:space="preserve">WÖHR </w:t>
      </w:r>
      <w:proofErr w:type="spellStart"/>
      <w:r w:rsidRPr="0055422D">
        <w:rPr>
          <w:b/>
          <w:i/>
        </w:rPr>
        <w:t>Bikesafe</w:t>
      </w:r>
      <w:proofErr w:type="spellEnd"/>
      <w:r w:rsidRPr="0055422D">
        <w:rPr>
          <w:b/>
        </w:rPr>
        <w:t xml:space="preserve"> – die schnelle Möglichkeit, ein Fahrrad sicher und platzsparend automatisch zu parken </w:t>
      </w:r>
    </w:p>
    <w:p w:rsidR="002960EB" w:rsidRPr="0055422D" w:rsidRDefault="002960EB" w:rsidP="002960EB">
      <w:pPr>
        <w:rPr>
          <w:b/>
        </w:rPr>
      </w:pPr>
    </w:p>
    <w:p w:rsidR="002960EB" w:rsidRPr="0055422D" w:rsidRDefault="002960EB" w:rsidP="002960EB">
      <w:pPr>
        <w:rPr>
          <w:b/>
        </w:rPr>
      </w:pPr>
      <w:r w:rsidRPr="0055422D">
        <w:rPr>
          <w:b/>
        </w:rPr>
        <w:t xml:space="preserve">Der Anteil an Fahrrädern, E-Bikes oder </w:t>
      </w:r>
      <w:proofErr w:type="spellStart"/>
      <w:r w:rsidRPr="0055422D">
        <w:rPr>
          <w:b/>
        </w:rPr>
        <w:t>Pedelecs</w:t>
      </w:r>
      <w:proofErr w:type="spellEnd"/>
      <w:r w:rsidRPr="0055422D">
        <w:rPr>
          <w:b/>
        </w:rPr>
        <w:t xml:space="preserve"> in deutschen Städten steigt ständig an. In den Mobilitätskonzepten der Kommunen werden sie in Zukunft eine zentrale Rolle spielen. Ein wichtiges Thema in der verdichteten Stadt von morgen ist deshalb auch das platzsparende und </w:t>
      </w:r>
      <w:r w:rsidR="00A06C05" w:rsidRPr="0055422D">
        <w:rPr>
          <w:b/>
        </w:rPr>
        <w:t>sichere</w:t>
      </w:r>
      <w:r w:rsidRPr="0055422D">
        <w:rPr>
          <w:b/>
        </w:rPr>
        <w:t xml:space="preserve"> Parken</w:t>
      </w:r>
      <w:r w:rsidR="00ED7B60" w:rsidRPr="0055422D">
        <w:rPr>
          <w:b/>
        </w:rPr>
        <w:t xml:space="preserve"> von Fahrrädern </w:t>
      </w:r>
      <w:r w:rsidRPr="0055422D">
        <w:rPr>
          <w:b/>
        </w:rPr>
        <w:t xml:space="preserve">– optisch ansprechend und </w:t>
      </w:r>
      <w:r w:rsidR="00ED7B60" w:rsidRPr="0055422D">
        <w:rPr>
          <w:b/>
        </w:rPr>
        <w:t>harmonisch</w:t>
      </w:r>
      <w:r w:rsidRPr="0055422D">
        <w:rPr>
          <w:b/>
        </w:rPr>
        <w:t xml:space="preserve"> in den öffentlichen Raum integriert. Eine Antwort auf das Stellplatzproblem in Städten gibt der </w:t>
      </w:r>
      <w:proofErr w:type="spellStart"/>
      <w:r w:rsidRPr="0055422D">
        <w:rPr>
          <w:b/>
          <w:i/>
        </w:rPr>
        <w:t>Bikesafe</w:t>
      </w:r>
      <w:proofErr w:type="spellEnd"/>
      <w:r w:rsidRPr="0055422D">
        <w:rPr>
          <w:b/>
        </w:rPr>
        <w:t xml:space="preserve"> von WÖHR. Das automatische Fahrradparksystem zeigt, wie Fahrräder sicher, schnell und so kompakt wie möglich untergebracht werden können.</w:t>
      </w:r>
    </w:p>
    <w:p w:rsidR="002960EB" w:rsidRPr="0055422D" w:rsidRDefault="002960EB" w:rsidP="002960EB">
      <w:pPr>
        <w:rPr>
          <w:b/>
        </w:rPr>
      </w:pPr>
    </w:p>
    <w:p w:rsidR="002960EB" w:rsidRPr="0055422D" w:rsidRDefault="002960EB" w:rsidP="002960EB">
      <w:r w:rsidRPr="0055422D">
        <w:t xml:space="preserve">Der WÖHR </w:t>
      </w:r>
      <w:proofErr w:type="spellStart"/>
      <w:r w:rsidRPr="0055422D">
        <w:rPr>
          <w:i/>
        </w:rPr>
        <w:t>Bikesafe</w:t>
      </w:r>
      <w:proofErr w:type="spellEnd"/>
      <w:r w:rsidRPr="0055422D">
        <w:t xml:space="preserve"> parkt Fahrräder automatisch und besonders platzsparend. Die Bedienung erfolgt standardmäßig mittels eines RFID-Chips über ein Bedientableau</w:t>
      </w:r>
      <w:r w:rsidR="00ED7B60" w:rsidRPr="0055422D">
        <w:t xml:space="preserve"> im Übergabebereich</w:t>
      </w:r>
      <w:r w:rsidRPr="0055422D">
        <w:t>. Für die Nutzung im öffentlichen Raum gibt es zudem optionale Bedien- und Bezahlkonzepte. Der</w:t>
      </w:r>
      <w:r w:rsidR="00ED7B60" w:rsidRPr="0055422D">
        <w:t xml:space="preserve"> </w:t>
      </w:r>
      <w:proofErr w:type="spellStart"/>
      <w:r w:rsidR="00ED7B60" w:rsidRPr="0055422D">
        <w:rPr>
          <w:i/>
        </w:rPr>
        <w:t>Bikesafe</w:t>
      </w:r>
      <w:proofErr w:type="spellEnd"/>
      <w:r w:rsidR="00ED7B60" w:rsidRPr="0055422D">
        <w:rPr>
          <w:i/>
        </w:rPr>
        <w:t xml:space="preserve"> </w:t>
      </w:r>
      <w:r w:rsidR="00ED7B60" w:rsidRPr="0055422D">
        <w:t>ist in unterschiedlichen Ausführungen verfügbar,</w:t>
      </w:r>
      <w:r w:rsidRPr="0055422D">
        <w:t xml:space="preserve"> es gibt ihn als Turm-, Schacht- oder kombinierte Variante. Er benötigt wenig Grundfläche, auf ca. 38 m² parken in der Turmversion bis zu 122 Fahrräder, in der Schachtversion sogar 128. </w:t>
      </w:r>
    </w:p>
    <w:p w:rsidR="002960EB" w:rsidRPr="0055422D" w:rsidRDefault="002960EB" w:rsidP="002960EB"/>
    <w:p w:rsidR="002960EB" w:rsidRPr="0055422D" w:rsidRDefault="002960EB" w:rsidP="002960EB">
      <w:r w:rsidRPr="0055422D">
        <w:rPr>
          <w:b/>
        </w:rPr>
        <w:t xml:space="preserve">Vielfalt in der Nutzung und Gestaltung </w:t>
      </w:r>
    </w:p>
    <w:p w:rsidR="006A460D" w:rsidRPr="0055422D" w:rsidRDefault="002960EB" w:rsidP="002960EB">
      <w:r w:rsidRPr="0055422D">
        <w:t xml:space="preserve">Der </w:t>
      </w:r>
      <w:proofErr w:type="spellStart"/>
      <w:r w:rsidRPr="0055422D">
        <w:rPr>
          <w:i/>
        </w:rPr>
        <w:t>Bikesafe</w:t>
      </w:r>
      <w:proofErr w:type="spellEnd"/>
      <w:r w:rsidRPr="0055422D">
        <w:rPr>
          <w:i/>
        </w:rPr>
        <w:t xml:space="preserve"> </w:t>
      </w:r>
      <w:r w:rsidRPr="0055422D">
        <w:t xml:space="preserve">ist für alle </w:t>
      </w:r>
      <w:r w:rsidR="00A06C05" w:rsidRPr="0055422D">
        <w:t>gä</w:t>
      </w:r>
      <w:r w:rsidR="00FD611E">
        <w:t>ngigen Fahrradm</w:t>
      </w:r>
      <w:r w:rsidR="00A06C05" w:rsidRPr="0055422D">
        <w:t xml:space="preserve">odelle </w:t>
      </w:r>
      <w:r w:rsidRPr="0055422D">
        <w:t>geeignet – bis zu einem Gewicht von 30 kg</w:t>
      </w:r>
      <w:r w:rsidR="006A460D" w:rsidRPr="0055422D">
        <w:t xml:space="preserve">, </w:t>
      </w:r>
      <w:r w:rsidRPr="0055422D">
        <w:t>einer Lenkerbreite von 76 cm</w:t>
      </w:r>
      <w:r w:rsidR="006A460D" w:rsidRPr="0055422D">
        <w:t xml:space="preserve"> und einer Fahrradhöhe von 125 cm</w:t>
      </w:r>
      <w:r w:rsidRPr="0055422D">
        <w:t>. Neben einer standardmäßig angebotenen Fassade aus Aluminium-Lamellen</w:t>
      </w:r>
      <w:r w:rsidR="006A460D" w:rsidRPr="0055422D">
        <w:t xml:space="preserve"> bietet WÖHR auch eine Glasfassade an. Damit der </w:t>
      </w:r>
      <w:proofErr w:type="spellStart"/>
      <w:r w:rsidR="006A460D" w:rsidRPr="0055422D">
        <w:rPr>
          <w:i/>
        </w:rPr>
        <w:t>Bikesafe</w:t>
      </w:r>
      <w:proofErr w:type="spellEnd"/>
      <w:r w:rsidR="006A460D" w:rsidRPr="0055422D">
        <w:t xml:space="preserve"> </w:t>
      </w:r>
      <w:r w:rsidR="00ED7B60" w:rsidRPr="0055422D">
        <w:t xml:space="preserve">ästhetisch ansprechend </w:t>
      </w:r>
      <w:r w:rsidR="006A460D" w:rsidRPr="0055422D">
        <w:t xml:space="preserve">in das Stadtbild passt, sind individuelle Gestaltungsmöglichkeiten denkbar. </w:t>
      </w:r>
    </w:p>
    <w:p w:rsidR="00666BE9" w:rsidRDefault="006A460D" w:rsidP="002960EB">
      <w:r w:rsidRPr="0055422D">
        <w:t xml:space="preserve">Beispiele für die bauseitige Außenfassade könnten Holz oder </w:t>
      </w:r>
      <w:proofErr w:type="spellStart"/>
      <w:r w:rsidRPr="0055422D">
        <w:t>Corten</w:t>
      </w:r>
      <w:proofErr w:type="spellEnd"/>
      <w:r w:rsidRPr="0055422D">
        <w:t xml:space="preserve">-Stahl sein.  </w:t>
      </w:r>
      <w:r w:rsidR="002960EB" w:rsidRPr="0055422D">
        <w:t>Auch Werbeflächen, beleuchtete oder begrünte Fassaden sind möglich. Insgesamt darf das zulässige Fassadengewicht maximal 50 kg/m</w:t>
      </w:r>
      <w:r w:rsidR="002960EB" w:rsidRPr="0055422D">
        <w:rPr>
          <w:vertAlign w:val="superscript"/>
        </w:rPr>
        <w:t>2</w:t>
      </w:r>
      <w:r w:rsidR="002960EB" w:rsidRPr="0055422D">
        <w:t xml:space="preserve"> betragen.</w:t>
      </w:r>
    </w:p>
    <w:p w:rsidR="00666BE9" w:rsidRDefault="00666BE9">
      <w:pPr>
        <w:suppressAutoHyphens w:val="0"/>
      </w:pPr>
      <w:r>
        <w:br w:type="page"/>
      </w:r>
    </w:p>
    <w:tbl>
      <w:tblPr>
        <w:tblStyle w:val="Tabellenraster"/>
        <w:tblW w:w="100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46"/>
        <w:gridCol w:w="5046"/>
      </w:tblGrid>
      <w:tr w:rsidR="0055422D" w:rsidRPr="0055422D" w:rsidTr="00666BE9">
        <w:trPr>
          <w:trHeight w:val="4678"/>
        </w:trPr>
        <w:tc>
          <w:tcPr>
            <w:tcW w:w="5046" w:type="dxa"/>
          </w:tcPr>
          <w:p w:rsidR="0055422D" w:rsidRPr="0055422D" w:rsidRDefault="0055422D" w:rsidP="002960EB">
            <w:r>
              <w:lastRenderedPageBreak/>
              <w:br w:type="page"/>
            </w:r>
            <w:r>
              <w:rPr>
                <w:noProof/>
                <w:lang w:eastAsia="de-DE"/>
              </w:rPr>
              <w:drawing>
                <wp:inline distT="0" distB="0" distL="0" distR="0" wp14:anchorId="319489BB" wp14:editId="2A748754">
                  <wp:extent cx="1841889" cy="3600000"/>
                  <wp:effectExtent l="0" t="0" r="6350" b="635"/>
                  <wp:docPr id="6" name="Grafik 6" descr="J:\EMA\AUT-Vertrieb\01-Vertrieb-Bikesafe\Rendering\Fassadengestaltung2018\181017_BIKESAFE_VAR ALU 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EMA\AUT-Vertrieb\01-Vertrieb-Bikesafe\Rendering\Fassadengestaltung2018\181017_BIKESAFE_VAR ALU 02.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5567"/>
                          <a:stretch/>
                        </pic:blipFill>
                        <pic:spPr bwMode="auto">
                          <a:xfrm>
                            <a:off x="0" y="0"/>
                            <a:ext cx="1841889" cy="36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046" w:type="dxa"/>
          </w:tcPr>
          <w:p w:rsidR="0055422D" w:rsidRPr="0055422D" w:rsidRDefault="0055422D" w:rsidP="002960EB">
            <w:r>
              <w:rPr>
                <w:noProof/>
                <w:lang w:eastAsia="de-DE"/>
              </w:rPr>
              <w:drawing>
                <wp:inline distT="0" distB="0" distL="0" distR="0" wp14:anchorId="5378646D" wp14:editId="4CB18B4E">
                  <wp:extent cx="1841897" cy="3600000"/>
                  <wp:effectExtent l="0" t="0" r="6350" b="635"/>
                  <wp:docPr id="7" name="Grafik 7" descr="J:\EMA\AUT-Vertrieb\01-Vertrieb-Bikesafe\Rendering\Fassadengestaltung2018\181017_BIKESAFE_VAR CORTEN 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EMA\AUT-Vertrieb\01-Vertrieb-Bikesafe\Rendering\Fassadengestaltung2018\181017_BIKESAFE_VAR CORTEN 02.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5567"/>
                          <a:stretch/>
                        </pic:blipFill>
                        <pic:spPr bwMode="auto">
                          <a:xfrm>
                            <a:off x="0" y="0"/>
                            <a:ext cx="1841897" cy="3600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52B9E" w:rsidRPr="0055422D" w:rsidTr="00B52B9E">
        <w:tc>
          <w:tcPr>
            <w:tcW w:w="5046" w:type="dxa"/>
          </w:tcPr>
          <w:p w:rsidR="00B52B9E" w:rsidRDefault="00B52B9E" w:rsidP="002960EB">
            <w:pPr>
              <w:rPr>
                <w:noProof/>
                <w:lang w:eastAsia="de-DE"/>
              </w:rPr>
            </w:pPr>
            <w:r w:rsidRPr="0055422D">
              <w:t>Fassadenbeispiel 1: Lieferumfang WÖHR</w:t>
            </w:r>
            <w:r>
              <w:t xml:space="preserve"> </w:t>
            </w:r>
            <w:r w:rsidRPr="0055422D">
              <w:t xml:space="preserve">Kombination Aluminium </w:t>
            </w:r>
            <w:r>
              <w:t>und</w:t>
            </w:r>
            <w:r w:rsidRPr="0055422D">
              <w:t xml:space="preserve"> Glas</w:t>
            </w:r>
          </w:p>
        </w:tc>
        <w:tc>
          <w:tcPr>
            <w:tcW w:w="5046" w:type="dxa"/>
          </w:tcPr>
          <w:p w:rsidR="00B52B9E" w:rsidRDefault="00B52B9E" w:rsidP="00B52B9E">
            <w:pPr>
              <w:rPr>
                <w:noProof/>
                <w:lang w:eastAsia="de-DE"/>
              </w:rPr>
            </w:pPr>
            <w:r w:rsidRPr="00B52B9E">
              <w:t xml:space="preserve">Fassadenbeispiel 2:  bauseitige Gestaltungsmöglichkeit Glas </w:t>
            </w:r>
            <w:r>
              <w:t>und</w:t>
            </w:r>
            <w:r w:rsidRPr="00B52B9E">
              <w:t xml:space="preserve"> </w:t>
            </w:r>
            <w:proofErr w:type="spellStart"/>
            <w:r w:rsidRPr="00B52B9E">
              <w:t>Corten</w:t>
            </w:r>
            <w:proofErr w:type="spellEnd"/>
            <w:r w:rsidRPr="00B52B9E">
              <w:t>-Stahl</w:t>
            </w:r>
          </w:p>
        </w:tc>
      </w:tr>
      <w:tr w:rsidR="00B52B9E" w:rsidRPr="0055422D" w:rsidTr="00666B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77"/>
        </w:trPr>
        <w:tc>
          <w:tcPr>
            <w:tcW w:w="5046" w:type="dxa"/>
            <w:tcBorders>
              <w:top w:val="nil"/>
              <w:left w:val="nil"/>
              <w:bottom w:val="nil"/>
              <w:right w:val="nil"/>
            </w:tcBorders>
          </w:tcPr>
          <w:p w:rsidR="0055422D" w:rsidRPr="0055422D" w:rsidRDefault="0055422D" w:rsidP="0000442E">
            <w:r>
              <w:rPr>
                <w:noProof/>
                <w:lang w:eastAsia="de-DE"/>
              </w:rPr>
              <w:drawing>
                <wp:inline distT="0" distB="0" distL="0" distR="0" wp14:anchorId="12F23E1D" wp14:editId="72458A24">
                  <wp:extent cx="1739362" cy="3600000"/>
                  <wp:effectExtent l="0" t="0" r="0" b="635"/>
                  <wp:docPr id="8" name="Grafik 8" descr="J:\EMA\AUT-Vertrieb\01-Vertrieb-Bikesafe\Rendering\Fassadengestaltung2018\181017_BIKESAFE_VAR WOOD 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EMA\AUT-Vertrieb\01-Vertrieb-Bikesafe\Rendering\Fassadengestaltung2018\181017_BIKESAFE_VAR WOOD 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39362" cy="3600000"/>
                          </a:xfrm>
                          <a:prstGeom prst="rect">
                            <a:avLst/>
                          </a:prstGeom>
                          <a:noFill/>
                          <a:ln>
                            <a:noFill/>
                          </a:ln>
                        </pic:spPr>
                      </pic:pic>
                    </a:graphicData>
                  </a:graphic>
                </wp:inline>
              </w:drawing>
            </w:r>
          </w:p>
        </w:tc>
        <w:tc>
          <w:tcPr>
            <w:tcW w:w="5046" w:type="dxa"/>
            <w:tcBorders>
              <w:top w:val="nil"/>
              <w:left w:val="nil"/>
              <w:bottom w:val="nil"/>
              <w:right w:val="nil"/>
            </w:tcBorders>
          </w:tcPr>
          <w:p w:rsidR="0055422D" w:rsidRPr="0055422D" w:rsidRDefault="0055422D" w:rsidP="0000442E">
            <w:r>
              <w:rPr>
                <w:noProof/>
                <w:lang w:eastAsia="de-DE"/>
              </w:rPr>
              <w:drawing>
                <wp:inline distT="0" distB="0" distL="0" distR="0" wp14:anchorId="70D17C57" wp14:editId="2F9BF9C9">
                  <wp:extent cx="2206332" cy="3600000"/>
                  <wp:effectExtent l="0" t="0" r="3810" b="635"/>
                  <wp:docPr id="9" name="Grafik 9" descr="J:\EMA\AUT-Vertrieb\01-Vertrieb-Bikesafe\Rendering\Fassadengestaltung2018\181017_BIKESAFE_VAR WOOD 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EMA\AUT-Vertrieb\01-Vertrieb-Bikesafe\Rendering\Fassadengestaltung2018\181017_BIKESAFE_VAR WOOD 0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6332" cy="3600000"/>
                          </a:xfrm>
                          <a:prstGeom prst="rect">
                            <a:avLst/>
                          </a:prstGeom>
                          <a:noFill/>
                          <a:ln>
                            <a:noFill/>
                          </a:ln>
                        </pic:spPr>
                      </pic:pic>
                    </a:graphicData>
                  </a:graphic>
                </wp:inline>
              </w:drawing>
            </w:r>
          </w:p>
        </w:tc>
      </w:tr>
      <w:tr w:rsidR="00B52B9E" w:rsidRPr="0055422D" w:rsidTr="00B52B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46" w:type="dxa"/>
            <w:tcBorders>
              <w:top w:val="nil"/>
              <w:left w:val="nil"/>
              <w:bottom w:val="nil"/>
              <w:right w:val="nil"/>
            </w:tcBorders>
          </w:tcPr>
          <w:p w:rsidR="00B52B9E" w:rsidRPr="00B52B9E" w:rsidRDefault="00B52B9E" w:rsidP="00B52B9E">
            <w:r w:rsidRPr="0055422D">
              <w:t xml:space="preserve">Fassadenbeispiel 3: bauseitige Gestaltungsmöglichkeit Glas </w:t>
            </w:r>
            <w:r>
              <w:t>und</w:t>
            </w:r>
            <w:r w:rsidRPr="0055422D">
              <w:t xml:space="preserve"> </w:t>
            </w:r>
            <w:r>
              <w:t>H</w:t>
            </w:r>
            <w:r w:rsidRPr="0055422D">
              <w:t>olzlamellen</w:t>
            </w:r>
          </w:p>
          <w:p w:rsidR="00B52B9E" w:rsidRDefault="00B52B9E" w:rsidP="0000442E">
            <w:pPr>
              <w:rPr>
                <w:noProof/>
                <w:lang w:eastAsia="de-DE"/>
              </w:rPr>
            </w:pPr>
          </w:p>
        </w:tc>
        <w:tc>
          <w:tcPr>
            <w:tcW w:w="5046" w:type="dxa"/>
            <w:tcBorders>
              <w:top w:val="nil"/>
              <w:left w:val="nil"/>
              <w:bottom w:val="nil"/>
              <w:right w:val="nil"/>
            </w:tcBorders>
          </w:tcPr>
          <w:p w:rsidR="00B52B9E" w:rsidRPr="00B52B9E" w:rsidRDefault="00B52B9E" w:rsidP="00B52B9E">
            <w:r w:rsidRPr="0055422D">
              <w:t xml:space="preserve">Fassadenbeispiel 4: bauseitige Gestaltungsmöglichkeit Holz </w:t>
            </w:r>
            <w:r>
              <w:t xml:space="preserve">und </w:t>
            </w:r>
            <w:r w:rsidRPr="0055422D">
              <w:t>Begrünung</w:t>
            </w:r>
          </w:p>
          <w:p w:rsidR="00B52B9E" w:rsidRDefault="00B52B9E" w:rsidP="0000442E">
            <w:pPr>
              <w:rPr>
                <w:noProof/>
                <w:lang w:eastAsia="de-DE"/>
              </w:rPr>
            </w:pPr>
          </w:p>
        </w:tc>
      </w:tr>
    </w:tbl>
    <w:p w:rsidR="002960EB" w:rsidRPr="0055422D" w:rsidRDefault="002960EB" w:rsidP="00666BE9">
      <w:pPr>
        <w:suppressAutoHyphens w:val="0"/>
        <w:rPr>
          <w:b/>
        </w:rPr>
      </w:pPr>
      <w:r w:rsidRPr="0055422D">
        <w:rPr>
          <w:b/>
        </w:rPr>
        <w:lastRenderedPageBreak/>
        <w:t>Schnelle Zugriffszeiten: Das Fahrrad ist in Sekunden wieder verfügbar</w:t>
      </w:r>
    </w:p>
    <w:p w:rsidR="003D5670" w:rsidRPr="0055422D" w:rsidRDefault="003D5670" w:rsidP="002960EB"/>
    <w:p w:rsidR="002960EB" w:rsidRPr="0055422D" w:rsidRDefault="002960EB" w:rsidP="002960EB">
      <w:r w:rsidRPr="0055422D">
        <w:t xml:space="preserve">Besonders in Stadtzentren ist die schnelle Verfügbarkeit des Fahrrads ein entscheidender Faktor. Lange Wartezeiten im Dunkeln oder mühsames </w:t>
      </w:r>
      <w:r w:rsidR="00FD611E">
        <w:t>I</w:t>
      </w:r>
      <w:r w:rsidRPr="0055422D">
        <w:t xml:space="preserve">dentifizieren des eigenen Fahrrads auf übervollen Stellplätzen vor Bahnhof, Schule oder </w:t>
      </w:r>
      <w:r w:rsidR="00DF4053" w:rsidRPr="0055422D">
        <w:t>Universität</w:t>
      </w:r>
      <w:r w:rsidRPr="0055422D">
        <w:t xml:space="preserve"> entfallen auch in Stoßzeiten. Denn mit dem WÖHR </w:t>
      </w:r>
      <w:proofErr w:type="spellStart"/>
      <w:r w:rsidRPr="0055422D">
        <w:rPr>
          <w:i/>
        </w:rPr>
        <w:t>Bikesafe</w:t>
      </w:r>
      <w:proofErr w:type="spellEnd"/>
      <w:r w:rsidRPr="0055422D">
        <w:t xml:space="preserve"> dauert die Wartezeit bis zur Auslagerung des Fahrrads durchschnittlich nur </w:t>
      </w:r>
      <w:r w:rsidR="00DF4053" w:rsidRPr="0055422D">
        <w:t xml:space="preserve">ca. 16 Sekunden. „Damit </w:t>
      </w:r>
      <w:r w:rsidR="0055422D">
        <w:t>haben wir ein extrem schnell automatisches Parksystem für Fahrräder entwickelt</w:t>
      </w:r>
      <w:r w:rsidRPr="0055422D">
        <w:t xml:space="preserve">“, erklärt Ferhan </w:t>
      </w:r>
      <w:proofErr w:type="spellStart"/>
      <w:r w:rsidR="00DF4053" w:rsidRPr="0055422D">
        <w:t>Ç</w:t>
      </w:r>
      <w:r w:rsidRPr="0055422D">
        <w:t>okgezen</w:t>
      </w:r>
      <w:proofErr w:type="spellEnd"/>
      <w:r w:rsidRPr="0055422D">
        <w:t xml:space="preserve">, </w:t>
      </w:r>
      <w:r w:rsidR="00DF4053" w:rsidRPr="0055422D">
        <w:t>Vertriebsleiterin</w:t>
      </w:r>
      <w:r w:rsidRPr="0055422D">
        <w:t xml:space="preserve"> für den </w:t>
      </w:r>
      <w:proofErr w:type="spellStart"/>
      <w:r w:rsidRPr="0055422D">
        <w:rPr>
          <w:i/>
        </w:rPr>
        <w:t>Bikesafe</w:t>
      </w:r>
      <w:proofErr w:type="spellEnd"/>
      <w:r w:rsidRPr="0055422D">
        <w:t xml:space="preserve"> bei WÖHR. „</w:t>
      </w:r>
      <w:r w:rsidR="0055422D">
        <w:t xml:space="preserve">Daher benötigen wir </w:t>
      </w:r>
      <w:r w:rsidR="00DF4053" w:rsidRPr="0055422D">
        <w:t>nur eine Übergabekabine</w:t>
      </w:r>
      <w:r w:rsidR="0055422D">
        <w:t xml:space="preserve"> – wobei auch eine zweite möglich wäre - </w:t>
      </w:r>
      <w:r w:rsidR="00DF4053" w:rsidRPr="0055422D">
        <w:t xml:space="preserve">denn eine zentrale Systemtechnik übernimmt alle Bewegungsabläufe beim Ein- oder Auslagern. Wir transportieren direkt das Fahrrad und können </w:t>
      </w:r>
      <w:r w:rsidR="00E11895" w:rsidRPr="0055422D">
        <w:t xml:space="preserve">somit </w:t>
      </w:r>
      <w:r w:rsidR="00DF4053" w:rsidRPr="0055422D">
        <w:t xml:space="preserve">besonders schnelle Zugriffszeiten erreichen. </w:t>
      </w:r>
      <w:r w:rsidR="00E11895" w:rsidRPr="0055422D">
        <w:t xml:space="preserve">Alles verläuft automatisch, </w:t>
      </w:r>
      <w:r w:rsidRPr="0055422D">
        <w:t>blitzschnell und sicher.“</w:t>
      </w:r>
    </w:p>
    <w:p w:rsidR="00B52B9E" w:rsidRDefault="00B52B9E">
      <w:pPr>
        <w:suppressAutoHyphens w:val="0"/>
      </w:pPr>
      <w:bookmarkStart w:id="0" w:name="_GoBack"/>
      <w:bookmarkEnd w:id="0"/>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7"/>
        <w:gridCol w:w="5087"/>
      </w:tblGrid>
      <w:tr w:rsidR="002960EB" w:rsidRPr="0055422D" w:rsidTr="0000442E">
        <w:tc>
          <w:tcPr>
            <w:tcW w:w="5087" w:type="dxa"/>
          </w:tcPr>
          <w:p w:rsidR="002960EB" w:rsidRPr="0055422D" w:rsidRDefault="002960EB" w:rsidP="0000442E">
            <w:r w:rsidRPr="0055422D">
              <w:rPr>
                <w:noProof/>
                <w:lang w:eastAsia="de-DE"/>
              </w:rPr>
              <w:drawing>
                <wp:inline distT="0" distB="0" distL="0" distR="0" wp14:anchorId="0C986C2D" wp14:editId="4E7AC1FB">
                  <wp:extent cx="2874843" cy="2160000"/>
                  <wp:effectExtent l="0" t="0" r="190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kesafe_Rutesheim5.jpg"/>
                          <pic:cNvPicPr/>
                        </pic:nvPicPr>
                        <pic:blipFill>
                          <a:blip r:embed="rId13" cstate="print">
                            <a:extLst>
                              <a:ext uri="{28A0092B-C50C-407E-A947-70E740481C1C}">
                                <a14:useLocalDpi xmlns:a14="http://schemas.microsoft.com/office/drawing/2010/main"/>
                              </a:ext>
                            </a:extLst>
                          </a:blip>
                          <a:stretch>
                            <a:fillRect/>
                          </a:stretch>
                        </pic:blipFill>
                        <pic:spPr>
                          <a:xfrm>
                            <a:off x="0" y="0"/>
                            <a:ext cx="2874843" cy="2160000"/>
                          </a:xfrm>
                          <a:prstGeom prst="rect">
                            <a:avLst/>
                          </a:prstGeom>
                        </pic:spPr>
                      </pic:pic>
                    </a:graphicData>
                  </a:graphic>
                </wp:inline>
              </w:drawing>
            </w:r>
          </w:p>
        </w:tc>
        <w:tc>
          <w:tcPr>
            <w:tcW w:w="5087" w:type="dxa"/>
            <w:vAlign w:val="bottom"/>
          </w:tcPr>
          <w:p w:rsidR="002960EB" w:rsidRPr="0055422D" w:rsidRDefault="002960EB" w:rsidP="0000442E">
            <w:r w:rsidRPr="0055422D">
              <w:rPr>
                <w:noProof/>
                <w:lang w:eastAsia="de-DE"/>
              </w:rPr>
              <w:drawing>
                <wp:inline distT="0" distB="0" distL="0" distR="0" wp14:anchorId="56708689" wp14:editId="35E61322">
                  <wp:extent cx="1622992" cy="21600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kesafe_Rutesheim6.jpg"/>
                          <pic:cNvPicPr/>
                        </pic:nvPicPr>
                        <pic:blipFill>
                          <a:blip r:embed="rId14" cstate="print">
                            <a:extLst>
                              <a:ext uri="{28A0092B-C50C-407E-A947-70E740481C1C}">
                                <a14:useLocalDpi xmlns:a14="http://schemas.microsoft.com/office/drawing/2010/main"/>
                              </a:ext>
                            </a:extLst>
                          </a:blip>
                          <a:stretch>
                            <a:fillRect/>
                          </a:stretch>
                        </pic:blipFill>
                        <pic:spPr>
                          <a:xfrm>
                            <a:off x="0" y="0"/>
                            <a:ext cx="1622992" cy="2160000"/>
                          </a:xfrm>
                          <a:prstGeom prst="rect">
                            <a:avLst/>
                          </a:prstGeom>
                        </pic:spPr>
                      </pic:pic>
                    </a:graphicData>
                  </a:graphic>
                </wp:inline>
              </w:drawing>
            </w:r>
          </w:p>
        </w:tc>
      </w:tr>
      <w:tr w:rsidR="00ED7B60" w:rsidRPr="0055422D" w:rsidTr="0000442E">
        <w:tc>
          <w:tcPr>
            <w:tcW w:w="5087" w:type="dxa"/>
          </w:tcPr>
          <w:p w:rsidR="00A007EC" w:rsidRPr="0055422D" w:rsidRDefault="00A007EC" w:rsidP="00ED7B60">
            <w:pPr>
              <w:rPr>
                <w:noProof/>
                <w:lang w:eastAsia="de-DE"/>
              </w:rPr>
            </w:pPr>
          </w:p>
          <w:p w:rsidR="00ED7B60" w:rsidRPr="0055422D" w:rsidRDefault="00ED7B60" w:rsidP="00ED7B60">
            <w:pPr>
              <w:rPr>
                <w:noProof/>
                <w:lang w:eastAsia="de-DE"/>
              </w:rPr>
            </w:pPr>
            <w:r w:rsidRPr="0055422D">
              <w:rPr>
                <w:noProof/>
                <w:lang w:eastAsia="de-DE"/>
              </w:rPr>
              <w:t xml:space="preserve">Bild 5: Die Greiftechnik transportiert das Fahrrad vom Übergabebereich in das Regalsystem.  </w:t>
            </w:r>
          </w:p>
        </w:tc>
        <w:tc>
          <w:tcPr>
            <w:tcW w:w="5087" w:type="dxa"/>
            <w:vAlign w:val="bottom"/>
          </w:tcPr>
          <w:p w:rsidR="00A007EC" w:rsidRPr="0055422D" w:rsidRDefault="00A007EC" w:rsidP="00ED7B60">
            <w:pPr>
              <w:rPr>
                <w:noProof/>
                <w:lang w:eastAsia="de-DE"/>
              </w:rPr>
            </w:pPr>
          </w:p>
          <w:p w:rsidR="00ED7B60" w:rsidRPr="0055422D" w:rsidRDefault="00ED7B60" w:rsidP="00ED7B60">
            <w:r w:rsidRPr="0055422D">
              <w:rPr>
                <w:noProof/>
                <w:lang w:eastAsia="de-DE"/>
              </w:rPr>
              <w:t xml:space="preserve">Bild 6: </w:t>
            </w:r>
            <w:r w:rsidRPr="0055422D">
              <w:t xml:space="preserve">Im WÖHR </w:t>
            </w:r>
            <w:proofErr w:type="spellStart"/>
            <w:r w:rsidRPr="0055422D">
              <w:rPr>
                <w:i/>
              </w:rPr>
              <w:t>Bikesafe</w:t>
            </w:r>
            <w:proofErr w:type="spellEnd"/>
            <w:r w:rsidRPr="0055422D">
              <w:t xml:space="preserve"> lassen sich auf einer Grundfläche von nur ca. 38 m² bis zu 122 Fahrräder sicher einlagern. Die Radschienen, auf denen die Fahrräder eingelagert werden, sind besonders flächenoptimiert um den zentralen Vertikallift angeordnet. </w:t>
            </w:r>
          </w:p>
          <w:p w:rsidR="00ED7B60" w:rsidRPr="0055422D" w:rsidRDefault="00ED7B60" w:rsidP="0000442E">
            <w:pPr>
              <w:rPr>
                <w:noProof/>
                <w:lang w:eastAsia="de-DE"/>
              </w:rPr>
            </w:pPr>
          </w:p>
        </w:tc>
      </w:tr>
    </w:tbl>
    <w:p w:rsidR="002960EB" w:rsidRPr="0055422D" w:rsidRDefault="002960EB" w:rsidP="002960EB"/>
    <w:p w:rsidR="00E11895" w:rsidRPr="0055422D" w:rsidRDefault="00E11895" w:rsidP="002960EB">
      <w:pPr>
        <w:rPr>
          <w:b/>
        </w:rPr>
      </w:pPr>
    </w:p>
    <w:p w:rsidR="002960EB" w:rsidRPr="0055422D" w:rsidRDefault="002960EB" w:rsidP="002960EB">
      <w:pPr>
        <w:rPr>
          <w:b/>
        </w:rPr>
      </w:pPr>
      <w:r w:rsidRPr="0055422D">
        <w:rPr>
          <w:b/>
        </w:rPr>
        <w:t>Fahrräder kompakt stapeln – gut geschützt vor Wettereinflüssen und Diebstahl</w:t>
      </w:r>
    </w:p>
    <w:p w:rsidR="003D5670" w:rsidRPr="0055422D" w:rsidRDefault="003D5670" w:rsidP="002960EB">
      <w:pPr>
        <w:rPr>
          <w:b/>
        </w:rPr>
      </w:pPr>
    </w:p>
    <w:p w:rsidR="002960EB" w:rsidRPr="0055422D" w:rsidRDefault="002960EB" w:rsidP="002960EB">
      <w:r w:rsidRPr="0055422D">
        <w:t>In der Übergabe</w:t>
      </w:r>
      <w:r w:rsidR="00DF4053" w:rsidRPr="0055422D">
        <w:t>kabine</w:t>
      </w:r>
      <w:r w:rsidRPr="0055422D">
        <w:t xml:space="preserve"> wechselt das Fahrrad in kurzer Zeit vom Besitzer zum Parksystem. Der Radler schiebt sein Fahrrad in die Radschiene ein. Hier befinden sich Sensoren, die zum einen das Gewicht </w:t>
      </w:r>
      <w:r w:rsidR="00ED7B60" w:rsidRPr="0055422D">
        <w:t xml:space="preserve">des Fahrrads  </w:t>
      </w:r>
      <w:r w:rsidRPr="0055422D">
        <w:t xml:space="preserve">überprüfen und zum anderen </w:t>
      </w:r>
      <w:r w:rsidR="00ED7B60" w:rsidRPr="0055422D">
        <w:t xml:space="preserve">den Einparkwunsch </w:t>
      </w:r>
      <w:r w:rsidRPr="0055422D">
        <w:t xml:space="preserve">erkennen. Das Schiebetor im Übergabebereich öffnet, das Rad wird bis zum innen liegenden Anschlag eingeschoben. Über den RFID-Chip wird der Einlagerungsvorgang bestätigt und das Fahrrad wird automatisch </w:t>
      </w:r>
      <w:r w:rsidR="00ED7B60" w:rsidRPr="0055422D">
        <w:t xml:space="preserve">in das Regalsystem eingezogen und auf </w:t>
      </w:r>
      <w:r w:rsidRPr="0055422D">
        <w:t xml:space="preserve">einem freien </w:t>
      </w:r>
      <w:r w:rsidR="00DF4053" w:rsidRPr="0055422D">
        <w:t>Stellplatz</w:t>
      </w:r>
      <w:r w:rsidRPr="0055422D">
        <w:t xml:space="preserve"> im </w:t>
      </w:r>
      <w:proofErr w:type="spellStart"/>
      <w:r w:rsidRPr="0055422D">
        <w:rPr>
          <w:i/>
        </w:rPr>
        <w:t>Bikesafe</w:t>
      </w:r>
      <w:proofErr w:type="spellEnd"/>
      <w:r w:rsidRPr="0055422D">
        <w:t xml:space="preserve"> eingelagert – gut geschützt vor Wettereinflüssen und dem Zugriff Dritter. „Die Technik funktioniert reibungslos“, so Ferhan </w:t>
      </w:r>
      <w:proofErr w:type="spellStart"/>
      <w:r w:rsidR="00DF4053" w:rsidRPr="0055422D">
        <w:t>Ç</w:t>
      </w:r>
      <w:r w:rsidRPr="0055422D">
        <w:t>okgezen</w:t>
      </w:r>
      <w:proofErr w:type="spellEnd"/>
      <w:r w:rsidRPr="0055422D">
        <w:t xml:space="preserve">. „Unser System ist auf Langlebigkeit ausgerichtet. In der Ausstellungshalle bei WÖHR ist ein Modell des </w:t>
      </w:r>
      <w:proofErr w:type="spellStart"/>
      <w:r w:rsidRPr="0055422D">
        <w:rPr>
          <w:i/>
        </w:rPr>
        <w:t>Bikesafe</w:t>
      </w:r>
      <w:proofErr w:type="spellEnd"/>
      <w:r w:rsidRPr="0055422D">
        <w:t xml:space="preserve"> seit April 2016 im Dauertest.“ Auch nach mehr als zwei Millionen Parkvorgängen, was eine Nutzung von über 20 Jahren simuliert, funktioniert der </w:t>
      </w:r>
      <w:proofErr w:type="spellStart"/>
      <w:r w:rsidRPr="0055422D">
        <w:rPr>
          <w:i/>
        </w:rPr>
        <w:t>Bikesafe</w:t>
      </w:r>
      <w:proofErr w:type="spellEnd"/>
      <w:r w:rsidRPr="0055422D">
        <w:t xml:space="preserve"> einwandfrei.</w:t>
      </w:r>
    </w:p>
    <w:p w:rsidR="002960EB" w:rsidRPr="0055422D" w:rsidRDefault="002960EB" w:rsidP="002960EB"/>
    <w:p w:rsidR="007B5938" w:rsidRPr="0055422D" w:rsidRDefault="007B5938">
      <w:pPr>
        <w:suppressAutoHyphens w:val="0"/>
        <w:rPr>
          <w:rFonts w:cs="Arial"/>
        </w:rPr>
      </w:pPr>
    </w:p>
    <w:sectPr w:rsidR="007B5938" w:rsidRPr="0055422D" w:rsidSect="006E284A">
      <w:headerReference w:type="default" r:id="rId15"/>
      <w:footerReference w:type="default" r:id="rId16"/>
      <w:headerReference w:type="first" r:id="rId17"/>
      <w:footerReference w:type="first" r:id="rId18"/>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2E54" w:rsidRDefault="00582E54">
      <w:r>
        <w:separator/>
      </w:r>
    </w:p>
  </w:endnote>
  <w:endnote w:type="continuationSeparator" w:id="0">
    <w:p w:rsidR="00582E54" w:rsidRDefault="00582E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w:t>
    </w:r>
    <w:proofErr w:type="spellStart"/>
    <w:r w:rsidR="008843EF" w:rsidRPr="00243964">
      <w:rPr>
        <w:sz w:val="13"/>
        <w:szCs w:val="13"/>
      </w:rPr>
      <w:t>Friolzheim</w:t>
    </w:r>
    <w:proofErr w:type="spellEnd"/>
    <w:r w:rsidR="008843EF" w:rsidRPr="00243964">
      <w:rPr>
        <w:sz w:val="13"/>
        <w:szCs w:val="13"/>
      </w:rPr>
      <w:t xml:space="preserve">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w:t>
    </w:r>
    <w:proofErr w:type="spellStart"/>
    <w:r w:rsidR="008843EF" w:rsidRPr="00243964">
      <w:rPr>
        <w:sz w:val="13"/>
        <w:szCs w:val="13"/>
      </w:rPr>
      <w:t>Ust</w:t>
    </w:r>
    <w:proofErr w:type="spellEnd"/>
    <w:r w:rsidR="008843EF" w:rsidRPr="00243964">
      <w:rPr>
        <w:sz w:val="13"/>
        <w:szCs w:val="13"/>
      </w:rPr>
      <w:t>.-</w:t>
    </w:r>
    <w:proofErr w:type="spellStart"/>
    <w:r w:rsidR="008843EF" w:rsidRPr="00243964">
      <w:rPr>
        <w:sz w:val="13"/>
        <w:szCs w:val="13"/>
      </w:rPr>
      <w:t>IdNr</w:t>
    </w:r>
    <w:proofErr w:type="spellEnd"/>
    <w:r w:rsidR="008843EF" w:rsidRPr="00243964">
      <w:rPr>
        <w:sz w:val="13"/>
        <w:szCs w:val="13"/>
      </w:rPr>
      <w:t xml:space="preserve">.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w:t>
    </w:r>
    <w:proofErr w:type="spellStart"/>
    <w:r w:rsidR="006E284A">
      <w:rPr>
        <w:sz w:val="13"/>
        <w:szCs w:val="13"/>
      </w:rPr>
      <w:t>Friolzheim</w:t>
    </w:r>
    <w:proofErr w:type="spellEnd"/>
    <w:r w:rsidR="006E284A">
      <w:rPr>
        <w:sz w:val="13"/>
        <w:szCs w:val="13"/>
      </w:rPr>
      <w:t xml:space="preserve"> </w:t>
    </w:r>
    <w:r w:rsidR="006E284A" w:rsidRPr="00243964">
      <w:rPr>
        <w:sz w:val="13"/>
        <w:szCs w:val="13"/>
      </w:rPr>
      <w:t xml:space="preserve"> |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Wolfgang </w:t>
    </w:r>
    <w:proofErr w:type="spellStart"/>
    <w:r w:rsidR="00BF1A90" w:rsidRPr="00243964">
      <w:rPr>
        <w:sz w:val="13"/>
        <w:szCs w:val="13"/>
      </w:rPr>
      <w:t>Frölich</w:t>
    </w:r>
    <w:proofErr w:type="spellEnd"/>
    <w:r w:rsidR="00243964" w:rsidRPr="00243964">
      <w:rPr>
        <w:sz w:val="13"/>
        <w:szCs w:val="13"/>
      </w:rPr>
      <w:t>, Jens Niepelt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w:t>
    </w:r>
    <w:proofErr w:type="spellStart"/>
    <w:r w:rsidR="006E0119" w:rsidRPr="00AE5402">
      <w:rPr>
        <w:sz w:val="13"/>
        <w:szCs w:val="13"/>
      </w:rPr>
      <w:t>Friolzheim</w:t>
    </w:r>
    <w:proofErr w:type="spellEnd"/>
    <w:r w:rsidR="006E0119" w:rsidRPr="00AE5402">
      <w:rPr>
        <w:sz w:val="13"/>
        <w:szCs w:val="13"/>
      </w:rPr>
      <w:t xml:space="preserve">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w:t>
    </w:r>
    <w:proofErr w:type="spellStart"/>
    <w:r w:rsidR="006E0119" w:rsidRPr="00AE5402">
      <w:rPr>
        <w:sz w:val="13"/>
        <w:szCs w:val="13"/>
      </w:rPr>
      <w:t>Ust</w:t>
    </w:r>
    <w:proofErr w:type="spellEnd"/>
    <w:r w:rsidR="006E0119" w:rsidRPr="00AE5402">
      <w:rPr>
        <w:sz w:val="13"/>
        <w:szCs w:val="13"/>
      </w:rPr>
      <w:t>.-</w:t>
    </w:r>
    <w:proofErr w:type="spellStart"/>
    <w:r w:rsidR="006E0119" w:rsidRPr="00AE5402">
      <w:rPr>
        <w:sz w:val="13"/>
        <w:szCs w:val="13"/>
      </w:rPr>
      <w:t>IdNr</w:t>
    </w:r>
    <w:proofErr w:type="spellEnd"/>
    <w:r w:rsidR="006E0119" w:rsidRPr="00AE5402">
      <w:rPr>
        <w:sz w:val="13"/>
        <w:szCs w:val="13"/>
      </w:rPr>
      <w:t xml:space="preserve">.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 xml:space="preserve">71292 </w:t>
    </w:r>
    <w:proofErr w:type="spellStart"/>
    <w:r w:rsidR="00FA4541">
      <w:rPr>
        <w:sz w:val="13"/>
        <w:szCs w:val="13"/>
      </w:rPr>
      <w:t>Friolzheim</w:t>
    </w:r>
    <w:proofErr w:type="spellEnd"/>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811F2">
      <w:rPr>
        <w:sz w:val="13"/>
        <w:szCs w:val="13"/>
      </w:rPr>
      <w:t>15</w:t>
    </w:r>
    <w:r w:rsidR="002E6F9F" w:rsidRPr="00AE5402">
      <w:rPr>
        <w:sz w:val="13"/>
        <w:szCs w:val="13"/>
      </w:rPr>
      <w:t xml:space="preserve"> | Geschäftsführer</w:t>
    </w:r>
    <w:r>
      <w:rPr>
        <w:sz w:val="13"/>
        <w:szCs w:val="13"/>
      </w:rPr>
      <w:t xml:space="preserve">: </w:t>
    </w:r>
    <w:r w:rsidR="002B0024" w:rsidRPr="00AE5402">
      <w:rPr>
        <w:sz w:val="13"/>
        <w:szCs w:val="13"/>
      </w:rPr>
      <w:t xml:space="preserve">Wolfgang </w:t>
    </w:r>
    <w:proofErr w:type="spellStart"/>
    <w:r w:rsidR="002B0024" w:rsidRPr="00AE5402">
      <w:rPr>
        <w:sz w:val="13"/>
        <w:szCs w:val="13"/>
      </w:rPr>
      <w:t>Frölich</w:t>
    </w:r>
    <w:proofErr w:type="spellEnd"/>
    <w:r w:rsidR="00507965" w:rsidRPr="00AE5402">
      <w:rPr>
        <w:sz w:val="13"/>
        <w:szCs w:val="13"/>
      </w:rPr>
      <w:t>,</w:t>
    </w:r>
    <w:r w:rsidR="002B0024" w:rsidRPr="00AE5402">
      <w:rPr>
        <w:sz w:val="13"/>
        <w:szCs w:val="13"/>
      </w:rPr>
      <w:t xml:space="preserve"> </w:t>
    </w:r>
    <w:r w:rsidR="00507965" w:rsidRPr="00AE5402">
      <w:rPr>
        <w:sz w:val="13"/>
        <w:szCs w:val="13"/>
      </w:rPr>
      <w:t>Jens Niepelt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2E54" w:rsidRDefault="00582E54">
      <w:r>
        <w:separator/>
      </w:r>
    </w:p>
  </w:footnote>
  <w:footnote w:type="continuationSeparator" w:id="0">
    <w:p w:rsidR="00582E54" w:rsidRDefault="00582E5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0119" w:rsidRDefault="00C030A9" w:rsidP="00E92AB0">
    <w:pPr>
      <w:pStyle w:val="Kopfzeile"/>
      <w:ind w:firstLine="360"/>
    </w:pPr>
    <w:r>
      <w:rPr>
        <w:rFonts w:cs="Arial"/>
        <w:noProof/>
        <w:lang w:eastAsia="de-DE"/>
      </w:rPr>
      <w:drawing>
        <wp:anchor distT="0" distB="0" distL="114300" distR="114300" simplePos="0" relativeHeight="251661824" behindDoc="0" locked="0" layoutInCell="1" allowOverlap="1" wp14:anchorId="25B95A88" wp14:editId="52D2ED52">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666BE9">
      <w:rPr>
        <w:rStyle w:val="Seitenzahl"/>
        <w:noProof/>
        <w:sz w:val="16"/>
        <w:szCs w:val="16"/>
      </w:rPr>
      <w:t>3</w:t>
    </w:r>
    <w:r w:rsidRPr="00E92AB0">
      <w:rPr>
        <w:rStyle w:val="Seitenzahl"/>
        <w:sz w:val="16"/>
        <w:szCs w:val="16"/>
      </w:rPr>
      <w:fldChar w:fldCharType="end"/>
    </w:r>
    <w:r w:rsidR="00E92AB0" w:rsidRPr="00E92AB0">
      <w:rPr>
        <w:rStyle w:val="Seitenzahl"/>
        <w:sz w:val="16"/>
        <w:szCs w:val="16"/>
      </w:rPr>
      <w:t xml:space="preserve"> von </w:t>
    </w:r>
    <w:r w:rsidR="00B52B9E">
      <w:rPr>
        <w:rStyle w:val="Seitenzahl"/>
        <w:sz w:val="16"/>
        <w:szCs w:val="16"/>
      </w:rPr>
      <w:t>3</w:t>
    </w:r>
    <w:r w:rsidR="00E92AB0" w:rsidRPr="00E92AB0">
      <w:rPr>
        <w:rStyle w:val="Seitenzahl"/>
        <w:sz w:val="16"/>
        <w:szCs w:val="16"/>
      </w:rPr>
      <w:t xml:space="preserve"> </w:t>
    </w:r>
    <w:r w:rsidR="00493DFB">
      <w:rPr>
        <w:rStyle w:val="Seitenzahl"/>
        <w:sz w:val="16"/>
        <w:szCs w:val="16"/>
      </w:rPr>
      <w:t xml:space="preserve">Pressemitteilung BAU 2019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eastAsia="de-DE"/>
      </w:rPr>
      <w:drawing>
        <wp:anchor distT="0" distB="0" distL="114300" distR="114300" simplePos="0" relativeHeight="251659776" behindDoc="0" locked="0" layoutInCell="1" allowOverlap="1" wp14:anchorId="315A9654" wp14:editId="7B45EC1A">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r w:rsidRPr="004E51B9">
      <w:rPr>
        <w:rFonts w:cs="Arial"/>
        <w:sz w:val="13"/>
        <w:szCs w:val="13"/>
      </w:rPr>
      <w:t xml:space="preserve">Datum </w:t>
    </w:r>
    <w:r w:rsidRPr="004E51B9">
      <w:rPr>
        <w:rFonts w:cs="Arial"/>
        <w:sz w:val="13"/>
        <w:szCs w:val="13"/>
      </w:rPr>
      <w:tab/>
    </w:r>
    <w:r w:rsidR="00A06C05">
      <w:rPr>
        <w:rFonts w:cs="Arial"/>
        <w:sz w:val="16"/>
        <w:szCs w:val="16"/>
      </w:rPr>
      <w:t>25.10.2018</w:t>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Durchwahl</w:t>
    </w:r>
    <w:r w:rsidRPr="004E51B9">
      <w:rPr>
        <w:rFonts w:cs="Arial"/>
        <w:sz w:val="13"/>
        <w:szCs w:val="13"/>
      </w:rPr>
      <w:tab/>
    </w:r>
    <w:r w:rsidR="00582E54" w:rsidRPr="00582E54">
      <w:rPr>
        <w:rFonts w:cs="Arial"/>
        <w:sz w:val="16"/>
        <w:szCs w:val="16"/>
      </w:rPr>
      <w:t xml:space="preserve">+49 (0) 7044 46 - </w:t>
    </w:r>
    <w:r w:rsidR="002960EB">
      <w:rPr>
        <w:rFonts w:cs="Arial"/>
        <w:sz w:val="16"/>
        <w:szCs w:val="16"/>
      </w:rPr>
      <w:t>185</w:t>
    </w:r>
  </w:p>
  <w:p w:rsidR="004E51B9" w:rsidRPr="004E51B9" w:rsidRDefault="004E51B9" w:rsidP="004E51B9">
    <w:pPr>
      <w:pStyle w:val="Kopfzeile"/>
      <w:tabs>
        <w:tab w:val="right" w:pos="-142"/>
        <w:tab w:val="left" w:pos="0"/>
      </w:tabs>
      <w:spacing w:line="240" w:lineRule="exact"/>
      <w:ind w:left="-879"/>
      <w:rPr>
        <w:rFonts w:cs="Arial"/>
        <w:sz w:val="13"/>
        <w:szCs w:val="13"/>
      </w:rPr>
    </w:pPr>
    <w:r w:rsidRPr="004E51B9">
      <w:rPr>
        <w:rFonts w:cs="Arial"/>
        <w:sz w:val="13"/>
        <w:szCs w:val="13"/>
      </w:rPr>
      <w:tab/>
      <w:t>Fax</w:t>
    </w:r>
    <w:r w:rsidRPr="004E51B9">
      <w:rPr>
        <w:rFonts w:cs="Arial"/>
        <w:sz w:val="13"/>
        <w:szCs w:val="13"/>
      </w:rPr>
      <w:tab/>
    </w:r>
    <w:r w:rsidR="00582E54" w:rsidRPr="00582E54">
      <w:rPr>
        <w:rFonts w:cs="Arial"/>
        <w:sz w:val="16"/>
        <w:szCs w:val="16"/>
      </w:rPr>
      <w:t>+49 (0) 7044 46 - 149</w:t>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Betreuer</w:t>
    </w:r>
    <w:r w:rsidRPr="004E51B9">
      <w:rPr>
        <w:rFonts w:cs="Arial"/>
        <w:sz w:val="13"/>
        <w:szCs w:val="13"/>
      </w:rPr>
      <w:tab/>
    </w:r>
    <w:r w:rsidR="002960EB" w:rsidRPr="002960EB">
      <w:rPr>
        <w:rFonts w:cs="Arial"/>
        <w:sz w:val="16"/>
        <w:szCs w:val="16"/>
      </w:rPr>
      <w:t>Ferhan Cokgezen</w:t>
    </w:r>
  </w:p>
  <w:p w:rsidR="004E51B9" w:rsidRPr="004E51B9" w:rsidRDefault="004E51B9" w:rsidP="004E51B9">
    <w:pPr>
      <w:tabs>
        <w:tab w:val="right" w:pos="-142"/>
        <w:tab w:val="left" w:pos="0"/>
      </w:tabs>
      <w:spacing w:line="240" w:lineRule="exact"/>
      <w:ind w:left="-879"/>
      <w:rPr>
        <w:rFonts w:cs="Arial"/>
        <w:sz w:val="13"/>
        <w:szCs w:val="13"/>
      </w:rPr>
    </w:pPr>
    <w:r w:rsidRPr="004E51B9">
      <w:rPr>
        <w:rFonts w:cs="Arial"/>
        <w:sz w:val="13"/>
        <w:szCs w:val="13"/>
      </w:rPr>
      <w:tab/>
      <w:t>E-Mail</w:t>
    </w:r>
    <w:r w:rsidRPr="004E51B9">
      <w:rPr>
        <w:rFonts w:cs="Arial"/>
        <w:sz w:val="13"/>
        <w:szCs w:val="13"/>
      </w:rPr>
      <w:tab/>
    </w:r>
    <w:r w:rsidR="002960EB" w:rsidRPr="002960EB">
      <w:rPr>
        <w:rFonts w:cs="Arial"/>
        <w:sz w:val="16"/>
        <w:szCs w:val="16"/>
      </w:rPr>
      <w:t>fc</w:t>
    </w:r>
    <w:r w:rsidR="00582E54" w:rsidRPr="00582E54">
      <w:rPr>
        <w:rFonts w:cs="Arial"/>
        <w:sz w:val="16"/>
        <w:szCs w:val="16"/>
      </w:rPr>
      <w:t>@woehr.de</w:t>
    </w:r>
  </w:p>
  <w:p w:rsidR="004E51B9" w:rsidRPr="00582E54" w:rsidRDefault="004E51B9" w:rsidP="00582E54">
    <w:pPr>
      <w:pStyle w:val="Kopfzeile"/>
      <w:tabs>
        <w:tab w:val="right" w:pos="-142"/>
        <w:tab w:val="left" w:pos="0"/>
      </w:tabs>
      <w:spacing w:line="240" w:lineRule="exact"/>
      <w:ind w:left="-879"/>
      <w:rPr>
        <w:rFonts w:cs="Arial"/>
        <w:sz w:val="13"/>
        <w:szCs w:val="13"/>
      </w:rPr>
    </w:pPr>
    <w:r w:rsidRPr="004E51B9">
      <w:rPr>
        <w:rFonts w:cs="Arial"/>
        <w:sz w:val="13"/>
        <w:szCs w:val="13"/>
      </w:rPr>
      <w:tab/>
      <w:t xml:space="preserve">Aktenzeichen </w:t>
    </w:r>
    <w:r w:rsidRPr="004E51B9">
      <w:rPr>
        <w:rFonts w:cs="Arial"/>
        <w:sz w:val="13"/>
        <w:szCs w:val="13"/>
      </w:rPr>
      <w:tab/>
    </w:r>
    <w:r w:rsidR="002960EB">
      <w:rPr>
        <w:rFonts w:cs="Arial"/>
        <w:b/>
        <w:sz w:val="16"/>
        <w:szCs w:val="16"/>
      </w:rPr>
      <w:t>BAU 2019</w:t>
    </w:r>
  </w:p>
  <w:p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79"/>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3686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2E54"/>
    <w:rsid w:val="00017428"/>
    <w:rsid w:val="0002223B"/>
    <w:rsid w:val="0002386F"/>
    <w:rsid w:val="0003248E"/>
    <w:rsid w:val="00056AE0"/>
    <w:rsid w:val="00074821"/>
    <w:rsid w:val="000C301A"/>
    <w:rsid w:val="000E0EA2"/>
    <w:rsid w:val="000E21C2"/>
    <w:rsid w:val="00102899"/>
    <w:rsid w:val="001039F7"/>
    <w:rsid w:val="001439E3"/>
    <w:rsid w:val="00147CEE"/>
    <w:rsid w:val="00175893"/>
    <w:rsid w:val="00183F7E"/>
    <w:rsid w:val="001B2A6C"/>
    <w:rsid w:val="0023494F"/>
    <w:rsid w:val="00243964"/>
    <w:rsid w:val="00270ED8"/>
    <w:rsid w:val="00272BEF"/>
    <w:rsid w:val="002811F2"/>
    <w:rsid w:val="00285DF2"/>
    <w:rsid w:val="0029059F"/>
    <w:rsid w:val="002910C3"/>
    <w:rsid w:val="002960EB"/>
    <w:rsid w:val="002A1C89"/>
    <w:rsid w:val="002B0024"/>
    <w:rsid w:val="002C5E0B"/>
    <w:rsid w:val="002D1A8C"/>
    <w:rsid w:val="002D302D"/>
    <w:rsid w:val="002E5BCB"/>
    <w:rsid w:val="002E6F9F"/>
    <w:rsid w:val="00310125"/>
    <w:rsid w:val="003430BB"/>
    <w:rsid w:val="00350D34"/>
    <w:rsid w:val="00373EDF"/>
    <w:rsid w:val="00376879"/>
    <w:rsid w:val="00382341"/>
    <w:rsid w:val="003837C9"/>
    <w:rsid w:val="003D5670"/>
    <w:rsid w:val="003E6E7C"/>
    <w:rsid w:val="003F73A6"/>
    <w:rsid w:val="00427242"/>
    <w:rsid w:val="0042781E"/>
    <w:rsid w:val="0047037B"/>
    <w:rsid w:val="00493DFB"/>
    <w:rsid w:val="004D2506"/>
    <w:rsid w:val="004E51B9"/>
    <w:rsid w:val="00507965"/>
    <w:rsid w:val="00510ED6"/>
    <w:rsid w:val="00545B07"/>
    <w:rsid w:val="005541C0"/>
    <w:rsid w:val="0055422D"/>
    <w:rsid w:val="00573B7A"/>
    <w:rsid w:val="00582E54"/>
    <w:rsid w:val="00583989"/>
    <w:rsid w:val="005978F2"/>
    <w:rsid w:val="005A6547"/>
    <w:rsid w:val="005B77B7"/>
    <w:rsid w:val="005C44AE"/>
    <w:rsid w:val="005E3D05"/>
    <w:rsid w:val="005E3F93"/>
    <w:rsid w:val="006019EA"/>
    <w:rsid w:val="00601EA1"/>
    <w:rsid w:val="00612E71"/>
    <w:rsid w:val="00614AB4"/>
    <w:rsid w:val="00614D52"/>
    <w:rsid w:val="00621A0C"/>
    <w:rsid w:val="0064403C"/>
    <w:rsid w:val="00645B39"/>
    <w:rsid w:val="00666BE9"/>
    <w:rsid w:val="006715A7"/>
    <w:rsid w:val="00681945"/>
    <w:rsid w:val="006951B1"/>
    <w:rsid w:val="006959E2"/>
    <w:rsid w:val="006A2930"/>
    <w:rsid w:val="006A460D"/>
    <w:rsid w:val="006E0119"/>
    <w:rsid w:val="006E284A"/>
    <w:rsid w:val="006F1DA7"/>
    <w:rsid w:val="0070651A"/>
    <w:rsid w:val="00710647"/>
    <w:rsid w:val="00716F55"/>
    <w:rsid w:val="00731465"/>
    <w:rsid w:val="007A5F50"/>
    <w:rsid w:val="007B5938"/>
    <w:rsid w:val="00800DD1"/>
    <w:rsid w:val="00844015"/>
    <w:rsid w:val="0084705E"/>
    <w:rsid w:val="00853563"/>
    <w:rsid w:val="00880631"/>
    <w:rsid w:val="008843EF"/>
    <w:rsid w:val="008B19CC"/>
    <w:rsid w:val="008D05B1"/>
    <w:rsid w:val="008D24BF"/>
    <w:rsid w:val="00904948"/>
    <w:rsid w:val="00920D27"/>
    <w:rsid w:val="00931849"/>
    <w:rsid w:val="00951DC5"/>
    <w:rsid w:val="00952BC6"/>
    <w:rsid w:val="00977C64"/>
    <w:rsid w:val="009D5088"/>
    <w:rsid w:val="00A007EC"/>
    <w:rsid w:val="00A06C05"/>
    <w:rsid w:val="00A143C3"/>
    <w:rsid w:val="00A17333"/>
    <w:rsid w:val="00A41AAB"/>
    <w:rsid w:val="00A52FDA"/>
    <w:rsid w:val="00AC6855"/>
    <w:rsid w:val="00AE4978"/>
    <w:rsid w:val="00AE5402"/>
    <w:rsid w:val="00AF47F7"/>
    <w:rsid w:val="00AF52C5"/>
    <w:rsid w:val="00B50CD2"/>
    <w:rsid w:val="00B52B9E"/>
    <w:rsid w:val="00B8345E"/>
    <w:rsid w:val="00B91B60"/>
    <w:rsid w:val="00BA0C57"/>
    <w:rsid w:val="00BA6EA7"/>
    <w:rsid w:val="00BB563F"/>
    <w:rsid w:val="00BB7B7A"/>
    <w:rsid w:val="00BF1A90"/>
    <w:rsid w:val="00BF4891"/>
    <w:rsid w:val="00C030A9"/>
    <w:rsid w:val="00C06037"/>
    <w:rsid w:val="00C22F7B"/>
    <w:rsid w:val="00C32215"/>
    <w:rsid w:val="00C5026C"/>
    <w:rsid w:val="00C543AD"/>
    <w:rsid w:val="00C7725B"/>
    <w:rsid w:val="00C8276E"/>
    <w:rsid w:val="00C83A3E"/>
    <w:rsid w:val="00CA0DBA"/>
    <w:rsid w:val="00CB084F"/>
    <w:rsid w:val="00CC09AE"/>
    <w:rsid w:val="00CD6F34"/>
    <w:rsid w:val="00CE51F4"/>
    <w:rsid w:val="00D11D1D"/>
    <w:rsid w:val="00D33A4A"/>
    <w:rsid w:val="00D33E84"/>
    <w:rsid w:val="00D50566"/>
    <w:rsid w:val="00D5413D"/>
    <w:rsid w:val="00D632CB"/>
    <w:rsid w:val="00D64E5E"/>
    <w:rsid w:val="00D66596"/>
    <w:rsid w:val="00D700E4"/>
    <w:rsid w:val="00D96DA5"/>
    <w:rsid w:val="00DC27B9"/>
    <w:rsid w:val="00DC381F"/>
    <w:rsid w:val="00DC4792"/>
    <w:rsid w:val="00DE5BEA"/>
    <w:rsid w:val="00DF4053"/>
    <w:rsid w:val="00DF41B6"/>
    <w:rsid w:val="00E047A3"/>
    <w:rsid w:val="00E11895"/>
    <w:rsid w:val="00E60423"/>
    <w:rsid w:val="00E748D8"/>
    <w:rsid w:val="00E81842"/>
    <w:rsid w:val="00E90A9B"/>
    <w:rsid w:val="00E92AB0"/>
    <w:rsid w:val="00E94DE6"/>
    <w:rsid w:val="00E971C3"/>
    <w:rsid w:val="00EB002F"/>
    <w:rsid w:val="00EC05D7"/>
    <w:rsid w:val="00ED7B60"/>
    <w:rsid w:val="00F01BC3"/>
    <w:rsid w:val="00F04034"/>
    <w:rsid w:val="00F068F2"/>
    <w:rsid w:val="00F379AE"/>
    <w:rsid w:val="00F7698C"/>
    <w:rsid w:val="00F970C0"/>
    <w:rsid w:val="00FA4541"/>
    <w:rsid w:val="00FA67D3"/>
    <w:rsid w:val="00FC1FCA"/>
    <w:rsid w:val="00FC5314"/>
    <w:rsid w:val="00FD115A"/>
    <w:rsid w:val="00FD611E"/>
    <w:rsid w:val="00FF1301"/>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 w:type="table" w:styleId="Tabellenraster">
    <w:name w:val="Table Grid"/>
    <w:basedOn w:val="NormaleTabelle"/>
    <w:rsid w:val="002960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 w:type="table" w:styleId="Tabellenraster">
    <w:name w:val="Table Grid"/>
    <w:basedOn w:val="NormaleTabelle"/>
    <w:rsid w:val="002960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tif"/></Relationships>
</file>

<file path=word/_rels/header2.xml.rels><?xml version="1.0" encoding="UTF-8" standalone="yes"?>
<Relationships xmlns="http://schemas.openxmlformats.org/package/2006/relationships"><Relationship Id="rId1" Type="http://schemas.openxmlformats.org/officeDocument/2006/relationships/image" Target="media/image7.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006566-16A8-4CC8-A13B-8279B361C8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Brief-OWG-mitLogo.dotm</Template>
  <TotalTime>0</TotalTime>
  <Pages>3</Pages>
  <Words>596</Words>
  <Characters>4000</Characters>
  <Application>Microsoft Office Word</Application>
  <DocSecurity>0</DocSecurity>
  <Lines>85</Lines>
  <Paragraphs>17</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4579</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Cokgezen, Ferhan</cp:lastModifiedBy>
  <cp:revision>6</cp:revision>
  <cp:lastPrinted>2018-10-24T08:09:00Z</cp:lastPrinted>
  <dcterms:created xsi:type="dcterms:W3CDTF">2018-10-22T16:18:00Z</dcterms:created>
  <dcterms:modified xsi:type="dcterms:W3CDTF">2018-10-24T08:10:00Z</dcterms:modified>
  <cp:category>Kategorie</cp:category>
</cp:coreProperties>
</file>